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240"/>
      </w:tblGrid>
      <w:tr>
        <w:trPr>
          <w:trHeight w:val="547"/>
        </w:trPr>
        <w:tc>
          <w:tcPr>
            <w:tcW w:w="10065" w:type="dxa"/>
            <w:gridSpan w:val="2"/>
            <w:shd w:val="clear" w:color="auto" w:fill="BDD6EE"/>
          </w:tcPr>
          <w:p>
            <w:pPr>
              <w:jc w:val="center"/>
              <w:rPr>
                <w:rFonts w:ascii="Calibri" w:eastAsia="Calibri" w:hAnsi="Calibri" w:cs="Calibri"/>
                <w:b/>
                <w:color w:val="0033CC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0033CC"/>
                <w:sz w:val="28"/>
                <w:szCs w:val="28"/>
                <w:lang w:val="en-GB"/>
              </w:rPr>
              <w:t>Approved List of Medications and Products for use in the Danes Hill School</w:t>
            </w:r>
          </w:p>
          <w:p>
            <w:pPr>
              <w:jc w:val="center"/>
              <w:rPr>
                <w:rFonts w:ascii="Calibri" w:eastAsia="Calibri" w:hAnsi="Calibri" w:cs="Calibri"/>
                <w:b/>
                <w:color w:val="0033CC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0033CC"/>
                <w:sz w:val="28"/>
                <w:szCs w:val="28"/>
                <w:lang w:val="en-GB"/>
              </w:rPr>
              <w:t>Medical Centre</w:t>
            </w:r>
          </w:p>
        </w:tc>
      </w:tr>
      <w:tr>
        <w:tc>
          <w:tcPr>
            <w:tcW w:w="5245" w:type="dxa"/>
            <w:shd w:val="clear" w:color="auto" w:fill="BDD6EE"/>
          </w:tcPr>
          <w:p>
            <w:pPr>
              <w:rPr>
                <w:rFonts w:ascii="Calibri" w:eastAsia="Calibri" w:hAnsi="Calibri" w:cs="Calibri"/>
                <w:b/>
                <w:color w:val="0033CC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0033CC"/>
                <w:sz w:val="28"/>
                <w:szCs w:val="28"/>
                <w:lang w:val="en-GB"/>
              </w:rPr>
              <w:t>Medications</w:t>
            </w:r>
          </w:p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  <w:shd w:val="clear" w:color="auto" w:fill="BDD6EE"/>
          </w:tcPr>
          <w:p>
            <w:pPr>
              <w:rPr>
                <w:rFonts w:ascii="Calibri" w:eastAsia="Calibri" w:hAnsi="Calibri" w:cs="Calibri"/>
                <w:b/>
                <w:color w:val="0033CC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0033CC"/>
                <w:sz w:val="24"/>
                <w:szCs w:val="24"/>
                <w:lang w:val="en-GB"/>
              </w:rPr>
              <w:t xml:space="preserve">Use </w:t>
            </w:r>
            <w:r>
              <w:rPr>
                <w:rFonts w:ascii="Calibri" w:eastAsia="Calibri" w:hAnsi="Calibri" w:cs="Calibri"/>
                <w:b/>
                <w:color w:val="0033CC"/>
                <w:sz w:val="24"/>
                <w:szCs w:val="24"/>
                <w:lang w:val="en-GB"/>
              </w:rPr>
              <w:t>as per Patient Information Leaflets (PIL)</w:t>
            </w:r>
          </w:p>
        </w:tc>
      </w:tr>
      <w:tr>
        <w:trPr>
          <w:trHeight w:val="325"/>
        </w:trP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Calpol Six Plus Fast Melts 250mg paracetamol per tablet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Calpol Six Plus Sachets 250mg/5ml paracetamol</w:t>
            </w:r>
          </w:p>
        </w:tc>
        <w:tc>
          <w:tcPr>
            <w:tcW w:w="4820" w:type="dxa"/>
            <w:shd w:val="clear" w:color="auto" w:fill="auto"/>
          </w:tcPr>
          <w:p/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Cetirizine Hydrochloride 10mg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Cetirizine Hydrochloride 5mgs/5mls Oral solution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Gaviscon Liquid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Ibuprofen 200mg tablets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Ibuprofen Suspension 100mg/5ml Sugar free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Paracetamol 250mg/5ml Oral Suspension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Paracetamol 500mg caplets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Piriton Syrup 2mg per 5ml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Piriton Tablets 4mg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Loratadine Tablets 10mg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BDD6EE"/>
          </w:tcPr>
          <w:p>
            <w:pPr>
              <w:rPr>
                <w:rFonts w:ascii="Calibri" w:eastAsia="Calibri" w:hAnsi="Calibri" w:cs="Calibri"/>
                <w:b/>
                <w:color w:val="0033CC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0033CC"/>
                <w:sz w:val="28"/>
                <w:szCs w:val="28"/>
                <w:lang w:val="en-GB"/>
              </w:rPr>
              <w:t>Products</w:t>
            </w:r>
          </w:p>
        </w:tc>
        <w:tc>
          <w:tcPr>
            <w:tcW w:w="4820" w:type="dxa"/>
            <w:shd w:val="clear" w:color="auto" w:fill="BDD6EE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0033CC"/>
                <w:sz w:val="24"/>
                <w:szCs w:val="24"/>
                <w:lang w:val="en-GB"/>
              </w:rPr>
              <w:t>Use as per Patient Information Leaflets (PIL)</w:t>
            </w: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Anthisan Cream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Arnica Cream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Blackcurrant and Menthol Lozenges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Burn Gel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Deep Heat Rub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Dental Modelling Wax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Dextrose Energy Tablets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Diprobase Cream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E45 Cream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Eurax Cream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Ginger Fruit Drops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Glucogel (40% Dextrose)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Lemon, Honey and Glycerine Lozenges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Magnesium Sulphate Paste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Olbas Oil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Sudocrem Cream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Sun Lotion SPF30 or SPF50 UVA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Teething Gel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Vaseline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BDD6EE"/>
          </w:tcPr>
          <w:p>
            <w:pPr>
              <w:rPr>
                <w:rFonts w:ascii="Calibri" w:eastAsia="Calibri" w:hAnsi="Calibri" w:cs="Calibri"/>
                <w:b/>
                <w:color w:val="0033CC"/>
                <w:sz w:val="32"/>
                <w:szCs w:val="32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0033CC"/>
                <w:sz w:val="32"/>
                <w:szCs w:val="32"/>
                <w:lang w:val="en-GB"/>
              </w:rPr>
              <w:t>Emergency Medications</w:t>
            </w:r>
          </w:p>
        </w:tc>
        <w:tc>
          <w:tcPr>
            <w:tcW w:w="4820" w:type="dxa"/>
            <w:shd w:val="clear" w:color="auto" w:fill="BDD6EE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0033CC"/>
                <w:sz w:val="24"/>
                <w:szCs w:val="24"/>
                <w:lang w:val="en-GB"/>
              </w:rPr>
              <w:t>Use as per Patient Information Leaflets (PIL)</w:t>
            </w:r>
            <w:r>
              <w:rPr>
                <w:rFonts w:ascii="Calibri" w:eastAsia="Calibri" w:hAnsi="Calibri" w:cs="Calibri"/>
                <w:b/>
                <w:color w:val="0033CC"/>
                <w:sz w:val="24"/>
                <w:szCs w:val="24"/>
                <w:lang w:val="en-GB"/>
              </w:rPr>
              <w:t xml:space="preserve"> and individual Care Plans</w:t>
            </w: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Adrenaline Auto- Injector pens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  <w:tr>
        <w:tc>
          <w:tcPr>
            <w:tcW w:w="5245" w:type="dxa"/>
            <w:shd w:val="clear" w:color="auto" w:fill="auto"/>
          </w:tcPr>
          <w:p>
            <w:pP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n-GB"/>
              </w:rPr>
              <w:t>Salbutamol Inhaler</w:t>
            </w:r>
          </w:p>
        </w:tc>
        <w:tc>
          <w:tcPr>
            <w:tcW w:w="4820" w:type="dxa"/>
            <w:shd w:val="clear" w:color="auto" w:fill="auto"/>
          </w:tcPr>
          <w:p>
            <w:pPr>
              <w:rPr>
                <w:rFonts w:ascii="Calibri" w:eastAsia="Calibri" w:hAnsi="Calibri" w:cs="Calibri"/>
                <w:b/>
                <w:color w:val="auto"/>
                <w:sz w:val="22"/>
                <w:szCs w:val="22"/>
                <w:lang w:val="en-GB"/>
              </w:rPr>
            </w:pPr>
          </w:p>
        </w:tc>
      </w:tr>
    </w:tbl>
    <w:p>
      <w:pPr>
        <w:pStyle w:val="NoSpacing"/>
        <w:rPr>
          <w:rFonts w:ascii="Bliss 2 Light" w:hAnsi="Bliss 2 Light"/>
        </w:rPr>
      </w:pPr>
    </w:p>
    <w:p>
      <w:pPr>
        <w:pStyle w:val="NoSpacing"/>
        <w:rPr>
          <w:rFonts w:ascii="Bliss 2 Light" w:hAnsi="Bliss 2 Light"/>
        </w:rPr>
      </w:pPr>
      <w:r>
        <w:rPr>
          <w:rFonts w:ascii="Bliss 2 Light" w:hAnsi="Bliss 2 Light"/>
        </w:rPr>
        <w:t>ADC</w:t>
      </w:r>
      <w:r>
        <w:rPr>
          <w:rFonts w:ascii="Bliss 2 Light" w:hAnsi="Bliss 2 Light"/>
        </w:rPr>
        <w:t>v100120</w:t>
      </w:r>
    </w:p>
    <w:sectPr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center"/>
    </w:pPr>
    <w:r>
      <w:rPr>
        <w:rFonts w:ascii="Bliss 2 Light" w:hAnsi="Bliss 2 Light"/>
        <w:b/>
        <w:noProof/>
        <w:lang w:eastAsia="en-GB"/>
      </w:rPr>
      <w:drawing>
        <wp:inline distT="0" distB="0" distL="0" distR="0">
          <wp:extent cx="657225" cy="685800"/>
          <wp:effectExtent l="0" t="0" r="9525" b="0"/>
          <wp:docPr id="1" name="Picture 1" descr="bi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Header"/>
      <w:jc w:val="center"/>
    </w:pPr>
  </w:p>
  <w:p>
    <w:pPr>
      <w:pStyle w:val="Header"/>
      <w:jc w:val="center"/>
      <w:rPr>
        <w:rFonts w:ascii="Bliss 2 Light" w:hAnsi="Bliss 2 Light"/>
        <w:sz w:val="28"/>
        <w:szCs w:val="28"/>
      </w:rPr>
    </w:pPr>
    <w:r>
      <w:rPr>
        <w:rFonts w:ascii="Bliss 2 Light" w:hAnsi="Bliss 2 Light"/>
        <w:sz w:val="28"/>
        <w:szCs w:val="28"/>
      </w:rPr>
      <w:t>Danes Hill School</w:t>
    </w:r>
  </w:p>
  <w:p>
    <w:pPr>
      <w:pStyle w:val="Header"/>
      <w:jc w:val="center"/>
      <w:rPr>
        <w:rFonts w:ascii="Bliss 2 Light" w:hAnsi="Bliss 2 Light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AEE47-0FE5-4BDA-BC7A-9517B585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Educational Trust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Corbett</dc:creator>
  <cp:keywords/>
  <dc:description/>
  <cp:lastModifiedBy>Claire Walsh</cp:lastModifiedBy>
  <cp:revision>2</cp:revision>
  <dcterms:created xsi:type="dcterms:W3CDTF">2020-01-20T12:36:00Z</dcterms:created>
  <dcterms:modified xsi:type="dcterms:W3CDTF">2020-01-20T12:36:00Z</dcterms:modified>
</cp:coreProperties>
</file>